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41068D" w:rsidRDefault="00CA1043" w:rsidP="009C6F8E">
      <w:pPr>
        <w:spacing w:after="0"/>
        <w:jc w:val="center"/>
        <w:rPr>
          <w:rFonts w:ascii="Times New Roman" w:hAnsi="Times New Roman"/>
          <w:b/>
          <w:bCs/>
          <w:sz w:val="28"/>
          <w:szCs w:val="32"/>
          <w:u w:val="single"/>
        </w:rPr>
      </w:pPr>
      <w:r w:rsidRPr="0041068D">
        <w:rPr>
          <w:rFonts w:ascii="Times New Roman" w:hAnsi="Times New Roman"/>
          <w:b/>
          <w:bCs/>
          <w:sz w:val="28"/>
          <w:szCs w:val="32"/>
          <w:u w:val="single"/>
        </w:rPr>
        <w:t>Press Release</w:t>
      </w:r>
    </w:p>
    <w:p w:rsidR="008022DC" w:rsidRPr="00C04031" w:rsidRDefault="008022DC" w:rsidP="008022DC">
      <w:pPr>
        <w:spacing w:after="0" w:line="240" w:lineRule="auto"/>
        <w:rPr>
          <w:rFonts w:ascii="Times New Roman" w:eastAsia="Times New Roman" w:hAnsi="Times New Roman"/>
          <w:b/>
          <w:bCs/>
          <w:sz w:val="6"/>
          <w:szCs w:val="24"/>
          <w:u w:val="single"/>
        </w:rPr>
      </w:pPr>
    </w:p>
    <w:p w:rsidR="006C6761" w:rsidRDefault="006C6761" w:rsidP="0041068D">
      <w:pPr>
        <w:spacing w:after="0" w:line="240" w:lineRule="auto"/>
        <w:jc w:val="center"/>
        <w:rPr>
          <w:rFonts w:ascii="Times New Roman" w:hAnsi="Times New Roman"/>
          <w:b/>
          <w:sz w:val="24"/>
          <w:szCs w:val="28"/>
          <w:u w:val="single"/>
        </w:rPr>
      </w:pPr>
      <w:bookmarkStart w:id="0" w:name="_Hlk68621736"/>
      <w:r w:rsidRPr="0041068D">
        <w:rPr>
          <w:rFonts w:ascii="Times New Roman" w:hAnsi="Times New Roman"/>
          <w:b/>
          <w:sz w:val="24"/>
          <w:szCs w:val="28"/>
          <w:u w:val="single"/>
        </w:rPr>
        <w:t>World Autism Awareness Day 202</w:t>
      </w:r>
      <w:bookmarkEnd w:id="0"/>
      <w:r w:rsidRPr="0041068D">
        <w:rPr>
          <w:rFonts w:ascii="Times New Roman" w:hAnsi="Times New Roman"/>
          <w:b/>
          <w:sz w:val="24"/>
          <w:szCs w:val="28"/>
          <w:u w:val="single"/>
        </w:rPr>
        <w:t>2 observed in the UN</w:t>
      </w:r>
    </w:p>
    <w:p w:rsidR="0041068D" w:rsidRPr="0041068D" w:rsidRDefault="0041068D" w:rsidP="0041068D">
      <w:pPr>
        <w:spacing w:after="0" w:line="240" w:lineRule="auto"/>
        <w:jc w:val="center"/>
        <w:rPr>
          <w:rFonts w:ascii="Times New Roman" w:hAnsi="Times New Roman"/>
          <w:b/>
          <w:sz w:val="2"/>
          <w:szCs w:val="28"/>
          <w:u w:val="single"/>
        </w:rPr>
      </w:pPr>
    </w:p>
    <w:p w:rsidR="0041068D" w:rsidRDefault="006C6761" w:rsidP="0041068D">
      <w:pPr>
        <w:spacing w:after="0" w:line="240" w:lineRule="auto"/>
        <w:jc w:val="center"/>
        <w:rPr>
          <w:rFonts w:ascii="Times New Roman" w:hAnsi="Times New Roman"/>
          <w:b/>
          <w:bCs/>
        </w:rPr>
      </w:pPr>
      <w:r w:rsidRPr="0041068D">
        <w:rPr>
          <w:rFonts w:ascii="Times New Roman" w:hAnsi="Times New Roman"/>
          <w:b/>
          <w:bCs/>
        </w:rPr>
        <w:t>Foreign Minister Dr. A. K. Abdul Momen reiterated Bangladesh’s commitment to ensure maximum</w:t>
      </w:r>
    </w:p>
    <w:p w:rsidR="006C6761" w:rsidRPr="0041068D" w:rsidRDefault="006C6761" w:rsidP="0041068D">
      <w:pPr>
        <w:spacing w:after="0" w:line="240" w:lineRule="auto"/>
        <w:jc w:val="center"/>
        <w:rPr>
          <w:rFonts w:ascii="Times New Roman" w:hAnsi="Times New Roman"/>
          <w:b/>
          <w:bCs/>
          <w:sz w:val="24"/>
          <w:szCs w:val="24"/>
        </w:rPr>
      </w:pPr>
      <w:r w:rsidRPr="0041068D">
        <w:rPr>
          <w:rFonts w:ascii="Times New Roman" w:hAnsi="Times New Roman"/>
          <w:b/>
          <w:bCs/>
        </w:rPr>
        <w:t>use</w:t>
      </w:r>
      <w:r w:rsidR="0041068D">
        <w:rPr>
          <w:rFonts w:ascii="Times New Roman" w:hAnsi="Times New Roman"/>
          <w:b/>
          <w:bCs/>
        </w:rPr>
        <w:t xml:space="preserve"> </w:t>
      </w:r>
      <w:r w:rsidRPr="0041068D">
        <w:rPr>
          <w:rFonts w:ascii="Times New Roman" w:hAnsi="Times New Roman"/>
          <w:b/>
          <w:bCs/>
        </w:rPr>
        <w:t>of the talents of autistic people and their full participation in society.</w:t>
      </w:r>
    </w:p>
    <w:p w:rsidR="0041068D" w:rsidRPr="0041068D" w:rsidRDefault="0041068D" w:rsidP="006C6761">
      <w:pPr>
        <w:jc w:val="both"/>
        <w:rPr>
          <w:rFonts w:ascii="Times New Roman" w:hAnsi="Times New Roman"/>
          <w:b/>
          <w:sz w:val="4"/>
          <w:shd w:val="clear" w:color="auto" w:fill="FFFFFF"/>
        </w:rPr>
      </w:pPr>
    </w:p>
    <w:p w:rsidR="006C6761" w:rsidRDefault="006C6761" w:rsidP="0041068D">
      <w:pPr>
        <w:spacing w:after="0"/>
        <w:jc w:val="both"/>
        <w:rPr>
          <w:rFonts w:ascii="Times New Roman" w:hAnsi="Times New Roman"/>
          <w:b/>
          <w:shd w:val="clear" w:color="auto" w:fill="FFFFFF"/>
        </w:rPr>
      </w:pPr>
      <w:r w:rsidRPr="0041068D">
        <w:rPr>
          <w:rFonts w:ascii="Times New Roman" w:hAnsi="Times New Roman"/>
          <w:b/>
          <w:shd w:val="clear" w:color="auto" w:fill="FFFFFF"/>
        </w:rPr>
        <w:t>New York, 07 April, 2022:</w:t>
      </w:r>
    </w:p>
    <w:p w:rsidR="0041068D" w:rsidRPr="0041068D" w:rsidRDefault="0041068D" w:rsidP="0041068D">
      <w:pPr>
        <w:spacing w:after="0"/>
        <w:jc w:val="both"/>
        <w:rPr>
          <w:rFonts w:ascii="Times New Roman" w:hAnsi="Times New Roman"/>
          <w:b/>
          <w:sz w:val="6"/>
          <w:szCs w:val="24"/>
          <w:shd w:val="clear" w:color="auto" w:fill="FFFFFF"/>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b/>
          <w:shd w:val="clear" w:color="auto" w:fill="FFFFFF"/>
        </w:rPr>
        <w:t>“</w:t>
      </w:r>
      <w:r w:rsidRPr="0041068D">
        <w:rPr>
          <w:rFonts w:ascii="Times New Roman" w:hAnsi="Times New Roman"/>
        </w:rPr>
        <w:t>We reaffirm our commitment to ensuring that over 75 million autistic people in the world can make the most of their talents and participate fully in our societies” said Dr. A. K. Abdul Momen, MP, the Foreign Minister of Bangladesh, today, at the UN. He was delivering his opening remarks at an virtual event on World Autism Awareness Day 2022 organized by</w:t>
      </w:r>
      <w:r w:rsidRPr="0041068D">
        <w:rPr>
          <w:rFonts w:ascii="Times New Roman" w:eastAsia="Arial Unicode MS" w:hAnsi="Times New Roman"/>
          <w:bdr w:val="none" w:sz="0" w:space="0" w:color="auto" w:frame="1"/>
        </w:rPr>
        <w:t xml:space="preserve"> t</w:t>
      </w:r>
      <w:r w:rsidRPr="0041068D">
        <w:rPr>
          <w:rFonts w:ascii="Times New Roman" w:hAnsi="Times New Roman"/>
        </w:rPr>
        <w:t>he Permanent Missions of Bangladesh and the State of Qatar to the United Nations in New York, in collaboration with the World Health Organization and Autism Speaks.</w:t>
      </w:r>
    </w:p>
    <w:p w:rsidR="0041068D" w:rsidRPr="0041068D" w:rsidRDefault="0041068D" w:rsidP="0041068D">
      <w:pPr>
        <w:spacing w:after="0" w:line="240" w:lineRule="auto"/>
        <w:ind w:firstLine="720"/>
        <w:jc w:val="both"/>
        <w:rPr>
          <w:rFonts w:ascii="Times New Roman" w:hAnsi="Times New Roman"/>
          <w:sz w:val="8"/>
        </w:rPr>
      </w:pPr>
    </w:p>
    <w:p w:rsidR="006C6761" w:rsidRPr="0041068D" w:rsidRDefault="006C6761" w:rsidP="0041068D">
      <w:pPr>
        <w:spacing w:after="0" w:line="240" w:lineRule="auto"/>
        <w:ind w:firstLine="720"/>
        <w:jc w:val="both"/>
        <w:rPr>
          <w:rFonts w:ascii="Times New Roman" w:hAnsi="Times New Roman"/>
          <w:bCs/>
          <w:sz w:val="8"/>
          <w:shd w:val="clear" w:color="auto" w:fill="FFFFFF"/>
        </w:rPr>
      </w:pPr>
      <w:r w:rsidRPr="0041068D">
        <w:rPr>
          <w:rFonts w:ascii="Times New Roman" w:hAnsi="Times New Roman"/>
        </w:rPr>
        <w:t xml:space="preserve">Dr. Momen </w:t>
      </w:r>
      <w:r w:rsidRPr="0041068D">
        <w:rPr>
          <w:rFonts w:ascii="Times New Roman" w:hAnsi="Times New Roman"/>
          <w:bCs/>
          <w:shd w:val="clear" w:color="auto" w:fill="FFFFFF"/>
        </w:rPr>
        <w:t xml:space="preserve">shared good practices from Bangladesh in supporting children with autism and their families during the pandemic, including through targeted support measures and use of ICTs. </w:t>
      </w:r>
      <w:r w:rsidRPr="0041068D">
        <w:rPr>
          <w:rFonts w:ascii="Times New Roman" w:hAnsi="Times New Roman"/>
        </w:rPr>
        <w:t xml:space="preserve">In this context, he </w:t>
      </w:r>
      <w:r w:rsidRPr="0041068D">
        <w:rPr>
          <w:rFonts w:ascii="Times New Roman" w:hAnsi="Times New Roman"/>
          <w:bCs/>
          <w:shd w:val="clear" w:color="auto" w:fill="FFFFFF"/>
        </w:rPr>
        <w:t>said, “</w:t>
      </w:r>
      <w:r w:rsidRPr="0041068D">
        <w:rPr>
          <w:rFonts w:ascii="Times New Roman" w:hAnsi="Times New Roman"/>
        </w:rPr>
        <w:t xml:space="preserve">During Covid-19, the children with autism and their families suffered disproportionately due to disruptions in their education and therapeutic services. However, the existing social support system, strong ICT infrastructure and robust community-based health services in Bangladesh helped many families cope up with the challenges”.  </w:t>
      </w:r>
      <w:r w:rsidR="0041068D">
        <w:rPr>
          <w:rFonts w:ascii="Times New Roman" w:hAnsi="Times New Roman"/>
        </w:rPr>
        <w:br/>
      </w: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bCs/>
          <w:shd w:val="clear" w:color="auto" w:fill="FFFFFF"/>
        </w:rPr>
        <w:t>Referring to the increased awareness on autism in Bangladesh, the Foreign Minister said, “</w:t>
      </w:r>
      <w:r w:rsidRPr="0041068D">
        <w:rPr>
          <w:rFonts w:ascii="Times New Roman" w:hAnsi="Times New Roman"/>
        </w:rPr>
        <w:t xml:space="preserve">Various stakeholders, ministries and departments have worked together to mitigate the challenges and stigma faced by the persons with autism”. In this regards he mentioned various initiatives undertaken by the current government such as ‘Rights and Protection of Persons with Disabilities Act 2013’ and ‘Neuro-development Trust Act 2013’, etc. </w:t>
      </w:r>
    </w:p>
    <w:p w:rsidR="0041068D" w:rsidRPr="0041068D" w:rsidRDefault="0041068D" w:rsidP="0041068D">
      <w:pPr>
        <w:spacing w:after="0" w:line="240" w:lineRule="auto"/>
        <w:ind w:firstLine="720"/>
        <w:jc w:val="both"/>
        <w:rPr>
          <w:rFonts w:ascii="Times New Roman" w:hAnsi="Times New Roman"/>
          <w:sz w:val="8"/>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rPr>
        <w:t>“Our government has been promoting a ‘culture of innovation’ to take advantage of the assistive tools and technologies. ‘Digital Bangladesh’ initiative has opened a new era in extending disability inclusive e-service, webs and other ICT-based services”, the Foreign Minister further added.</w:t>
      </w:r>
    </w:p>
    <w:p w:rsidR="0041068D" w:rsidRPr="0041068D" w:rsidRDefault="0041068D" w:rsidP="0041068D">
      <w:pPr>
        <w:spacing w:after="0" w:line="240" w:lineRule="auto"/>
        <w:ind w:firstLine="720"/>
        <w:jc w:val="both"/>
        <w:rPr>
          <w:rFonts w:ascii="Times New Roman" w:hAnsi="Times New Roman"/>
          <w:sz w:val="10"/>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rPr>
        <w:t>Dr. Momen also stated that besides national efforts, Bangladesh had been advocating the issue in the UN since the launching of “World Autism Awareness Day” in 2007 and tabled UNGA Resolution 67/82 titled “Addressing the socioeconomic needs of individuals, families and societies affected by ASD, neurodevelopment disorders and associated disabilities” in 2013 which was unanimously adopted.</w:t>
      </w:r>
    </w:p>
    <w:p w:rsidR="0041068D" w:rsidRPr="0041068D" w:rsidRDefault="0041068D" w:rsidP="0041068D">
      <w:pPr>
        <w:spacing w:after="0" w:line="240" w:lineRule="auto"/>
        <w:ind w:firstLine="720"/>
        <w:jc w:val="both"/>
        <w:rPr>
          <w:rFonts w:ascii="Times New Roman" w:hAnsi="Times New Roman"/>
          <w:sz w:val="8"/>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rPr>
        <w:t xml:space="preserve">He mentioned about the guidance of directives given by Prime Minister Sheikh Hasina for mainstreaming all children with special needs in Bangladesh to explore their hidden talents and acknowledged with appreciation the extraordinary role played by </w:t>
      </w:r>
      <w:r w:rsidRPr="0041068D">
        <w:rPr>
          <w:rFonts w:ascii="Times New Roman" w:hAnsi="Times New Roman"/>
          <w:bCs/>
          <w:shd w:val="clear" w:color="auto" w:fill="FFFFFF"/>
        </w:rPr>
        <w:t>Ms. Saima Wazed, the Chairperson of the National Advisory Committee on Autism and Neuro-developmental Disorder, Bangladesh and WHO Goodwill Ambassador for Autism in South-East Asia Region,</w:t>
      </w:r>
      <w:r w:rsidRPr="0041068D">
        <w:rPr>
          <w:rFonts w:ascii="Times New Roman" w:hAnsi="Times New Roman"/>
        </w:rPr>
        <w:t xml:space="preserve"> to raise awareness on autism in Bangladesh  and south Asia.</w:t>
      </w:r>
    </w:p>
    <w:p w:rsidR="0041068D" w:rsidRPr="0041068D" w:rsidRDefault="0041068D" w:rsidP="0041068D">
      <w:pPr>
        <w:spacing w:after="0" w:line="240" w:lineRule="auto"/>
        <w:ind w:firstLine="720"/>
        <w:jc w:val="both"/>
        <w:rPr>
          <w:rFonts w:ascii="Times New Roman" w:hAnsi="Times New Roman"/>
          <w:sz w:val="8"/>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rPr>
        <w:t>Bangladesh’s Foreign Minister hoped that society can change to allow autistic people to live their best life and use of inclusive digital technology could be a starting point towards that end.</w:t>
      </w:r>
    </w:p>
    <w:p w:rsidR="0041068D" w:rsidRPr="0041068D" w:rsidRDefault="0041068D" w:rsidP="0041068D">
      <w:pPr>
        <w:spacing w:after="0" w:line="240" w:lineRule="auto"/>
        <w:ind w:firstLine="720"/>
        <w:jc w:val="both"/>
        <w:rPr>
          <w:rFonts w:ascii="Times New Roman" w:hAnsi="Times New Roman"/>
          <w:sz w:val="8"/>
        </w:rPr>
      </w:pPr>
    </w:p>
    <w:p w:rsidR="006C6761" w:rsidRDefault="006C6761" w:rsidP="0041068D">
      <w:pPr>
        <w:spacing w:after="0" w:line="240" w:lineRule="auto"/>
        <w:ind w:firstLine="720"/>
        <w:jc w:val="both"/>
        <w:rPr>
          <w:rFonts w:ascii="Times New Roman" w:hAnsi="Times New Roman"/>
        </w:rPr>
      </w:pPr>
      <w:r w:rsidRPr="0041068D">
        <w:rPr>
          <w:rFonts w:ascii="Times New Roman" w:hAnsi="Times New Roman"/>
        </w:rPr>
        <w:t xml:space="preserve">Along with Bangladesh’s Foreign Minister, Ms. Mariam Bint Ali Bin Nasser Al-Misnad, Minister of Social Development and Family of the State of Qatar; Ms. Melissa Fleming, Under-Secretary-General for Global communications, UN; </w:t>
      </w:r>
      <w:r w:rsidRPr="0041068D">
        <w:rPr>
          <w:rFonts w:ascii="Times New Roman" w:hAnsi="Times New Roman"/>
          <w:lang w:val="fr-FR"/>
        </w:rPr>
        <w:t>Ms. Daniela Bas, Director, DISD, DESA, United Nations</w:t>
      </w:r>
      <w:r w:rsidRPr="0041068D">
        <w:rPr>
          <w:rFonts w:ascii="Times New Roman" w:hAnsi="Times New Roman"/>
        </w:rPr>
        <w:t xml:space="preserve">, and Werner Obermeyer, Director, WHO Office in New York also participated and spoke in the opening segment. </w:t>
      </w:r>
    </w:p>
    <w:p w:rsidR="0041068D" w:rsidRPr="0041068D" w:rsidRDefault="0041068D" w:rsidP="0041068D">
      <w:pPr>
        <w:spacing w:after="0" w:line="240" w:lineRule="auto"/>
        <w:ind w:firstLine="720"/>
        <w:jc w:val="both"/>
        <w:rPr>
          <w:rFonts w:ascii="Times New Roman" w:hAnsi="Times New Roman"/>
          <w:sz w:val="10"/>
        </w:rPr>
      </w:pPr>
    </w:p>
    <w:p w:rsidR="006C6761" w:rsidRDefault="006C6761" w:rsidP="0041068D">
      <w:pPr>
        <w:spacing w:after="0" w:line="240" w:lineRule="auto"/>
        <w:ind w:firstLine="720"/>
        <w:jc w:val="both"/>
        <w:rPr>
          <w:rStyle w:val="y2iqfc"/>
          <w:rFonts w:ascii="Times New Roman" w:hAnsi="Times New Roman"/>
        </w:rPr>
      </w:pPr>
      <w:r w:rsidRPr="0041068D">
        <w:rPr>
          <w:rFonts w:ascii="Times New Roman" w:hAnsi="Times New Roman"/>
        </w:rPr>
        <w:t>D</w:t>
      </w:r>
      <w:r w:rsidRPr="0041068D">
        <w:rPr>
          <w:rFonts w:ascii="Times New Roman" w:hAnsi="Times New Roman"/>
          <w:bCs/>
          <w:shd w:val="clear" w:color="auto" w:fill="FFFFFF"/>
        </w:rPr>
        <w:t xml:space="preserve">istinguished panelists from different parts of the world including parents of autistic persons spoke at the Panel Discussion segment. </w:t>
      </w:r>
      <w:r w:rsidRPr="0041068D">
        <w:rPr>
          <w:rStyle w:val="y2iqfc"/>
          <w:rFonts w:ascii="Times New Roman" w:hAnsi="Times New Roman"/>
        </w:rPr>
        <w:t>In addition to panel discussions, a Q&amp;A session was held for parents and family members of persons with autism.</w:t>
      </w:r>
    </w:p>
    <w:p w:rsidR="0041068D" w:rsidRPr="0041068D" w:rsidRDefault="0041068D" w:rsidP="0041068D">
      <w:pPr>
        <w:spacing w:after="0" w:line="240" w:lineRule="auto"/>
        <w:ind w:firstLine="720"/>
        <w:jc w:val="both"/>
        <w:rPr>
          <w:rFonts w:ascii="Times New Roman" w:hAnsi="Times New Roman"/>
          <w:sz w:val="10"/>
        </w:rPr>
      </w:pPr>
    </w:p>
    <w:p w:rsidR="006C6761" w:rsidRPr="0041068D" w:rsidRDefault="006C6761" w:rsidP="0041068D">
      <w:pPr>
        <w:spacing w:after="0"/>
        <w:ind w:firstLine="720"/>
        <w:jc w:val="both"/>
        <w:rPr>
          <w:rFonts w:ascii="Times New Roman" w:hAnsi="Times New Roman"/>
          <w:bCs/>
          <w:shd w:val="clear" w:color="auto" w:fill="FFFFFF"/>
        </w:rPr>
      </w:pPr>
      <w:r w:rsidRPr="0041068D">
        <w:rPr>
          <w:rFonts w:ascii="Times New Roman" w:hAnsi="Times New Roman"/>
          <w:bCs/>
          <w:shd w:val="clear" w:color="auto" w:fill="FFFFFF"/>
        </w:rPr>
        <w:t>The virtual event was widely attended by people including persons with autism from all corners of the globe.</w:t>
      </w:r>
    </w:p>
    <w:p w:rsidR="00C048D5" w:rsidRPr="0041068D" w:rsidRDefault="006C6761" w:rsidP="0041068D">
      <w:pPr>
        <w:spacing w:after="0"/>
        <w:ind w:firstLine="720"/>
        <w:jc w:val="center"/>
        <w:rPr>
          <w:rFonts w:ascii="Times New Roman" w:hAnsi="Times New Roman"/>
        </w:rPr>
      </w:pPr>
      <w:r w:rsidRPr="0041068D">
        <w:rPr>
          <w:rFonts w:ascii="Times New Roman" w:hAnsi="Times New Roman"/>
          <w:bCs/>
          <w:shd w:val="clear" w:color="auto" w:fill="FFFFFF"/>
        </w:rPr>
        <w:t>***</w:t>
      </w:r>
    </w:p>
    <w:sectPr w:rsidR="00C048D5" w:rsidRPr="0041068D"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25" w:rsidRDefault="001E5125" w:rsidP="00DD43A2">
      <w:pPr>
        <w:spacing w:after="0" w:line="240" w:lineRule="auto"/>
      </w:pPr>
      <w:r>
        <w:separator/>
      </w:r>
    </w:p>
  </w:endnote>
  <w:endnote w:type="continuationSeparator" w:id="1">
    <w:p w:rsidR="001E5125" w:rsidRDefault="001E5125"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83343F" w:rsidP="00FA434D">
    <w:pPr>
      <w:spacing w:after="0" w:line="240" w:lineRule="auto"/>
      <w:ind w:right="-360" w:hanging="360"/>
      <w:jc w:val="center"/>
      <w:rPr>
        <w:color w:val="000000"/>
        <w:szCs w:val="20"/>
      </w:rPr>
    </w:pPr>
    <w:r w:rsidRPr="0083343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25" w:rsidRDefault="001E5125" w:rsidP="00DD43A2">
      <w:pPr>
        <w:spacing w:after="0" w:line="240" w:lineRule="auto"/>
      </w:pPr>
      <w:r>
        <w:separator/>
      </w:r>
    </w:p>
  </w:footnote>
  <w:footnote w:type="continuationSeparator" w:id="1">
    <w:p w:rsidR="001E5125" w:rsidRDefault="001E5125"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094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5316"/>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C7C81"/>
    <w:rsid w:val="001D3A21"/>
    <w:rsid w:val="001D4ECE"/>
    <w:rsid w:val="001D74EB"/>
    <w:rsid w:val="001E15A6"/>
    <w:rsid w:val="001E50FC"/>
    <w:rsid w:val="001E5125"/>
    <w:rsid w:val="001F041C"/>
    <w:rsid w:val="001F117B"/>
    <w:rsid w:val="001F1AE9"/>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8AE"/>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55FB"/>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68D"/>
    <w:rsid w:val="0041091B"/>
    <w:rsid w:val="004151CC"/>
    <w:rsid w:val="00415536"/>
    <w:rsid w:val="004159B3"/>
    <w:rsid w:val="00416A80"/>
    <w:rsid w:val="00420CF7"/>
    <w:rsid w:val="00421462"/>
    <w:rsid w:val="00421F37"/>
    <w:rsid w:val="004223F5"/>
    <w:rsid w:val="004229A0"/>
    <w:rsid w:val="004251C3"/>
    <w:rsid w:val="00425DB5"/>
    <w:rsid w:val="004270B2"/>
    <w:rsid w:val="00427386"/>
    <w:rsid w:val="00431262"/>
    <w:rsid w:val="00435968"/>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C6761"/>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47B5"/>
    <w:rsid w:val="007054C1"/>
    <w:rsid w:val="007054C3"/>
    <w:rsid w:val="007073F4"/>
    <w:rsid w:val="007133E0"/>
    <w:rsid w:val="00713825"/>
    <w:rsid w:val="00715872"/>
    <w:rsid w:val="0071793C"/>
    <w:rsid w:val="00721238"/>
    <w:rsid w:val="00725EB2"/>
    <w:rsid w:val="007322D6"/>
    <w:rsid w:val="007351C7"/>
    <w:rsid w:val="00735B47"/>
    <w:rsid w:val="007418AF"/>
    <w:rsid w:val="007440BB"/>
    <w:rsid w:val="00747687"/>
    <w:rsid w:val="00750999"/>
    <w:rsid w:val="00753513"/>
    <w:rsid w:val="00753A9D"/>
    <w:rsid w:val="007543E0"/>
    <w:rsid w:val="00757AFA"/>
    <w:rsid w:val="00760301"/>
    <w:rsid w:val="00764B94"/>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2DC"/>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3343F"/>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63FB1"/>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7410"/>
    <w:rsid w:val="009D7D41"/>
    <w:rsid w:val="009E0FD6"/>
    <w:rsid w:val="009E2DF3"/>
    <w:rsid w:val="009E43C0"/>
    <w:rsid w:val="009E4606"/>
    <w:rsid w:val="009E7173"/>
    <w:rsid w:val="00A007C5"/>
    <w:rsid w:val="00A10224"/>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0FBC"/>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031"/>
    <w:rsid w:val="00C044EE"/>
    <w:rsid w:val="00C048D5"/>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6215"/>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33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841C0"/>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32387197">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55532040">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396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331</cp:revision>
  <cp:lastPrinted>2022-03-01T17:42:00Z</cp:lastPrinted>
  <dcterms:created xsi:type="dcterms:W3CDTF">2021-04-17T16:56:00Z</dcterms:created>
  <dcterms:modified xsi:type="dcterms:W3CDTF">2022-04-07T22:42:00Z</dcterms:modified>
</cp:coreProperties>
</file>